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0D644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D6449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0D6449" w:rsidRDefault="00953692" w:rsidP="008C3BCF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 xml:space="preserve"> 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РЕШЕНИЕ</w:t>
      </w:r>
    </w:p>
    <w:p w:rsidR="00953692" w:rsidRPr="000D6449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0D6449" w:rsidRDefault="00621190" w:rsidP="00100F62">
      <w:pPr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о</w:t>
      </w:r>
      <w:r w:rsidR="00100F62" w:rsidRPr="000D6449">
        <w:rPr>
          <w:rFonts w:ascii="Times New Roman" w:hAnsi="Times New Roman"/>
          <w:b/>
          <w:lang w:val="ru-RU"/>
        </w:rPr>
        <w:t>т</w:t>
      </w:r>
      <w:r w:rsidR="002D2E1C" w:rsidRPr="000D6449">
        <w:rPr>
          <w:rFonts w:ascii="Times New Roman" w:hAnsi="Times New Roman"/>
          <w:b/>
          <w:lang w:val="ru-RU"/>
        </w:rPr>
        <w:t xml:space="preserve"> </w:t>
      </w:r>
      <w:r w:rsidR="002538CD">
        <w:rPr>
          <w:rFonts w:ascii="Times New Roman" w:hAnsi="Times New Roman"/>
          <w:b/>
          <w:lang w:val="ru-RU"/>
        </w:rPr>
        <w:t>30 июня 2</w:t>
      </w:r>
      <w:r w:rsidR="000D6449" w:rsidRPr="000D6449">
        <w:rPr>
          <w:rFonts w:ascii="Times New Roman" w:hAnsi="Times New Roman"/>
          <w:b/>
          <w:lang w:val="ru-RU"/>
        </w:rPr>
        <w:t>021</w:t>
      </w:r>
      <w:r w:rsidR="00953692" w:rsidRPr="000D6449">
        <w:rPr>
          <w:rFonts w:ascii="Times New Roman" w:hAnsi="Times New Roman"/>
          <w:b/>
          <w:lang w:val="ru-RU"/>
        </w:rPr>
        <w:t xml:space="preserve"> </w:t>
      </w:r>
      <w:r w:rsidR="00595481" w:rsidRPr="000D6449">
        <w:rPr>
          <w:rFonts w:ascii="Times New Roman" w:hAnsi="Times New Roman"/>
          <w:b/>
          <w:lang w:val="ru-RU"/>
        </w:rPr>
        <w:t>года</w:t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BC5B9B" w:rsidRPr="000D6449">
        <w:rPr>
          <w:rFonts w:ascii="Times New Roman" w:hAnsi="Times New Roman"/>
          <w:b/>
          <w:lang w:val="ru-RU"/>
        </w:rPr>
        <w:t>№</w:t>
      </w:r>
      <w:r w:rsidR="000D6449" w:rsidRPr="000D6449">
        <w:rPr>
          <w:rFonts w:ascii="Times New Roman" w:hAnsi="Times New Roman"/>
          <w:b/>
          <w:lang w:val="ru-RU"/>
        </w:rPr>
        <w:t xml:space="preserve"> </w:t>
      </w:r>
      <w:r w:rsidR="002538CD">
        <w:rPr>
          <w:rFonts w:ascii="Times New Roman" w:hAnsi="Times New Roman"/>
          <w:b/>
          <w:lang w:val="ru-RU"/>
        </w:rPr>
        <w:t>107</w:t>
      </w:r>
    </w:p>
    <w:p w:rsidR="00100F62" w:rsidRPr="000D6449" w:rsidRDefault="008C3BCF" w:rsidP="00100F62">
      <w:pPr>
        <w:jc w:val="center"/>
        <w:rPr>
          <w:rFonts w:ascii="Times New Roman" w:hAnsi="Times New Roman"/>
          <w:lang w:val="ru-RU"/>
        </w:rPr>
      </w:pPr>
      <w:r w:rsidRPr="000D6449">
        <w:rPr>
          <w:rFonts w:ascii="Times New Roman" w:hAnsi="Times New Roman"/>
          <w:lang w:val="ru-RU"/>
        </w:rPr>
        <w:t>с.</w:t>
      </w:r>
      <w:r w:rsidR="00C25324" w:rsidRPr="000D6449">
        <w:rPr>
          <w:rFonts w:ascii="Times New Roman" w:hAnsi="Times New Roman"/>
          <w:lang w:val="ru-RU"/>
        </w:rPr>
        <w:t xml:space="preserve"> Братковское</w:t>
      </w:r>
    </w:p>
    <w:p w:rsidR="00100F62" w:rsidRPr="000D644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6C3A60" w:rsidRPr="000D6449" w:rsidRDefault="006C3A60" w:rsidP="001D651C">
      <w:pPr>
        <w:pStyle w:val="af9"/>
      </w:pPr>
    </w:p>
    <w:p w:rsidR="00A41B23" w:rsidRPr="002538CD" w:rsidRDefault="00A41B23" w:rsidP="00A41B2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B11D9B" w:rsidRPr="002538CD" w:rsidRDefault="00B11D9B" w:rsidP="00A41B23">
      <w:pPr>
        <w:jc w:val="center"/>
        <w:rPr>
          <w:sz w:val="28"/>
          <w:szCs w:val="28"/>
          <w:lang w:val="ru-RU"/>
        </w:rPr>
      </w:pPr>
      <w:r w:rsidRPr="002538C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28.04.2021 г. № 98)</w:t>
      </w:r>
    </w:p>
    <w:p w:rsidR="00A41B23" w:rsidRPr="002538CD" w:rsidRDefault="00A41B23" w:rsidP="00A41B23">
      <w:pPr>
        <w:pStyle w:val="af3"/>
        <w:widowControl w:val="0"/>
        <w:rPr>
          <w:szCs w:val="28"/>
        </w:rPr>
      </w:pPr>
    </w:p>
    <w:p w:rsidR="00A41B23" w:rsidRPr="002538CD" w:rsidRDefault="00A41B23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41B23" w:rsidRPr="002538CD" w:rsidRDefault="00A41B23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</w:t>
      </w:r>
      <w:r w:rsidR="00B11D9B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2021</w:t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 следующие изменения и дополнения: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A41B23" w:rsidRPr="002538CD" w:rsidRDefault="00A41B23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CB1C8D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2021</w:t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41B23" w:rsidRPr="002538CD" w:rsidRDefault="00A41B23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A34DDF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21953,7</w:t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A34DDF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22484,7</w:t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A41B23" w:rsidRPr="002538CD" w:rsidRDefault="00A41B23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 изложить в новой редакции (приложение № 1);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№4 изложить в новой редакции (приложение № 2);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5 изложить в новой редакции (приложение № 3);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6 изложить в новой редакции (приложение № 4);</w:t>
      </w:r>
    </w:p>
    <w:p w:rsidR="00A41B23" w:rsidRPr="002538CD" w:rsidRDefault="00A41B23" w:rsidP="00A41B23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7 изложить в новой редакции (приложение № 5)</w:t>
      </w:r>
    </w:p>
    <w:p w:rsidR="00A41B23" w:rsidRPr="002538CD" w:rsidRDefault="00A34DDF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A41B23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41B23" w:rsidRPr="00253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41B23" w:rsidRPr="002538CD" w:rsidRDefault="00A34DDF" w:rsidP="00A41B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A41B23"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A41B23" w:rsidRPr="002538CD" w:rsidRDefault="00A41B23" w:rsidP="00A41B23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A41B23" w:rsidRPr="002538CD" w:rsidRDefault="00A41B23" w:rsidP="00A41B23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A41B23" w:rsidRPr="002538CD" w:rsidRDefault="00A41B23" w:rsidP="00A41B23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A41B23" w:rsidRPr="002538CD" w:rsidRDefault="00A41B23" w:rsidP="00A41B23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2538C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6C3A60" w:rsidRPr="002538CD" w:rsidRDefault="006C3A60" w:rsidP="001D651C">
      <w:pPr>
        <w:pStyle w:val="af9"/>
        <w:rPr>
          <w:sz w:val="28"/>
          <w:szCs w:val="28"/>
        </w:rPr>
      </w:pP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2538CD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34DD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30.06.2021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107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538CD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A34DD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13060,5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A34DD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12974,7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34DDF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21953,7</w:t>
            </w:r>
            <w:r w:rsidR="002538CD">
              <w:rPr>
                <w:sz w:val="28"/>
                <w:szCs w:val="28"/>
              </w:rPr>
              <w:t>»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76D1C" w:rsidRDefault="00A76D1C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2538CD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A34D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8CD">
        <w:rPr>
          <w:rFonts w:ascii="Times New Roman" w:hAnsi="Times New Roman"/>
          <w:sz w:val="28"/>
          <w:szCs w:val="28"/>
          <w:lang w:val="ru-RU"/>
        </w:rPr>
        <w:t xml:space="preserve">30.06.2021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2538CD">
        <w:rPr>
          <w:rFonts w:ascii="Times New Roman" w:hAnsi="Times New Roman"/>
          <w:sz w:val="28"/>
          <w:szCs w:val="28"/>
          <w:lang w:val="ru-RU"/>
        </w:rPr>
        <w:t>107</w:t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538CD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34DD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70E4B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4547,8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183,1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A34DD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10606,5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34DD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9664</w:t>
            </w:r>
            <w:r w:rsidR="000D6449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70E4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A34DDF" w:rsidRDefault="009A0AF4" w:rsidP="009A0A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Социальная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A34DDF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A34DDF" w:rsidRDefault="009A0AF4" w:rsidP="009A0A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Пенсионное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A34DDF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2538C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76D1C" w:rsidRDefault="00A76D1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A34D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8CD">
        <w:rPr>
          <w:rFonts w:ascii="Times New Roman" w:hAnsi="Times New Roman"/>
          <w:sz w:val="28"/>
          <w:szCs w:val="28"/>
          <w:lang w:val="ru-RU"/>
        </w:rPr>
        <w:t xml:space="preserve">30.06 2021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2538CD">
        <w:rPr>
          <w:rFonts w:ascii="Times New Roman" w:hAnsi="Times New Roman"/>
          <w:sz w:val="28"/>
          <w:szCs w:val="28"/>
          <w:lang w:val="ru-RU"/>
        </w:rPr>
        <w:t>107</w:t>
      </w:r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2538CD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A34D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A34DDF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A34DDF" w:rsidRDefault="00A34DDF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A34DDF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A34DDF" w:rsidRDefault="00A34DDF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34D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236,2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34D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235,0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A34DDF" w:rsidRDefault="009A0AF4" w:rsidP="009A0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val="ru-RU"/>
              </w:rPr>
              <w:t>Расходы по</w:t>
            </w: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A34DDF">
              <w:rPr>
                <w:color w:val="000000" w:themeColor="text1"/>
                <w:lang w:val="ru-RU"/>
              </w:rPr>
              <w:t xml:space="preserve"> </w:t>
            </w: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замещавщим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A34DDF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A34DDF" w:rsidRDefault="009A0AF4" w:rsidP="0056078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A34DDF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  <w:r w:rsidR="002538C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FD3C09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8CD">
        <w:rPr>
          <w:rFonts w:ascii="Times New Roman" w:hAnsi="Times New Roman"/>
          <w:sz w:val="28"/>
          <w:szCs w:val="28"/>
          <w:lang w:val="ru-RU"/>
        </w:rPr>
        <w:t xml:space="preserve"> 30.06.2021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2538CD">
        <w:rPr>
          <w:rFonts w:ascii="Times New Roman" w:hAnsi="Times New Roman"/>
          <w:sz w:val="28"/>
          <w:szCs w:val="28"/>
          <w:lang w:val="ru-RU"/>
        </w:rPr>
        <w:t>107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2538CD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34DD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4547,8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65206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10606,5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65206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9664,2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5206E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236,2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5206E" w:rsidP="006520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235,0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65206E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</w:t>
            </w: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65206E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65206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65206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A7B1D" w:rsidRPr="00352844" w:rsidTr="00A34D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8B4210" w:rsidRDefault="009A7B1D" w:rsidP="009A7B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Социальная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8B4210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A34D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8B4210" w:rsidRDefault="009A7B1D" w:rsidP="009A7B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Пенсионное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210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352844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8B4210" w:rsidRDefault="008B4210" w:rsidP="008B42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B4210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val="ru-RU"/>
              </w:rPr>
              <w:t>Расходы по</w:t>
            </w: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B4210">
              <w:rPr>
                <w:color w:val="000000" w:themeColor="text1"/>
                <w:lang w:val="ru-RU"/>
              </w:rPr>
              <w:t xml:space="preserve"> </w:t>
            </w: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замещавщим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</w:pPr>
            <w:r w:rsidRPr="00EA3AB0"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8B4210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0AF4" w:rsidRDefault="008B4210" w:rsidP="008B421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</w:pPr>
            <w:r w:rsidRPr="00EA3AB0"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2538C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9A7B1D" w:rsidRDefault="007C66D9" w:rsidP="008B4210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21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04044" w:rsidRDefault="005A6CDD" w:rsidP="008B421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8B4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8CD">
        <w:rPr>
          <w:rFonts w:ascii="Times New Roman" w:hAnsi="Times New Roman"/>
          <w:sz w:val="28"/>
          <w:szCs w:val="28"/>
          <w:lang w:val="ru-RU"/>
        </w:rPr>
        <w:t xml:space="preserve">30.06.2021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2538CD">
        <w:rPr>
          <w:rFonts w:ascii="Times New Roman" w:hAnsi="Times New Roman"/>
          <w:sz w:val="28"/>
          <w:szCs w:val="28"/>
          <w:lang w:val="ru-RU"/>
        </w:rPr>
        <w:t>107</w:t>
      </w:r>
    </w:p>
    <w:p w:rsidR="00352844" w:rsidRPr="008767E3" w:rsidRDefault="002538CD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B4210">
              <w:rPr>
                <w:rFonts w:ascii="Times New Roman" w:hAnsi="Times New Roman"/>
                <w:sz w:val="28"/>
                <w:szCs w:val="28"/>
                <w:lang w:val="ru-RU"/>
              </w:rPr>
              <w:t>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B4210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  <w:r w:rsidR="002538C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bookmarkStart w:id="0" w:name="_GoBack"/>
            <w:bookmarkEnd w:id="0"/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352844" w:rsidRPr="00352844" w:rsidRDefault="00352844" w:rsidP="008B4210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8B4210">
          <w:pgSz w:w="11906" w:h="16838"/>
          <w:pgMar w:top="284" w:right="567" w:bottom="993" w:left="1701" w:header="709" w:footer="709" w:gutter="0"/>
          <w:cols w:space="708"/>
          <w:docGrid w:linePitch="360"/>
        </w:sect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8B4210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21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2504F" w:rsidRPr="00352844" w:rsidRDefault="00F2504F" w:rsidP="008B4210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5EB2"/>
    <w:rsid w:val="001F6424"/>
    <w:rsid w:val="001F745D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38CD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46230"/>
    <w:rsid w:val="00352844"/>
    <w:rsid w:val="00352B02"/>
    <w:rsid w:val="00361FE3"/>
    <w:rsid w:val="00367FC3"/>
    <w:rsid w:val="00370DF7"/>
    <w:rsid w:val="00372846"/>
    <w:rsid w:val="00375035"/>
    <w:rsid w:val="00380559"/>
    <w:rsid w:val="00382483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08DE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5206E"/>
    <w:rsid w:val="00663501"/>
    <w:rsid w:val="00665EFF"/>
    <w:rsid w:val="00666106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51E7"/>
    <w:rsid w:val="0089600E"/>
    <w:rsid w:val="0089773E"/>
    <w:rsid w:val="008A2039"/>
    <w:rsid w:val="008A2C81"/>
    <w:rsid w:val="008B011E"/>
    <w:rsid w:val="008B4210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0AF4"/>
    <w:rsid w:val="009A1292"/>
    <w:rsid w:val="009A386C"/>
    <w:rsid w:val="009A7B1D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1C12"/>
    <w:rsid w:val="00A12E18"/>
    <w:rsid w:val="00A13235"/>
    <w:rsid w:val="00A22E7C"/>
    <w:rsid w:val="00A2370B"/>
    <w:rsid w:val="00A2556B"/>
    <w:rsid w:val="00A34DDF"/>
    <w:rsid w:val="00A372CB"/>
    <w:rsid w:val="00A41B23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76D1C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E6C49"/>
    <w:rsid w:val="00AF073A"/>
    <w:rsid w:val="00AF4BA3"/>
    <w:rsid w:val="00B11D9B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BA7"/>
    <w:rsid w:val="00F33E9C"/>
    <w:rsid w:val="00F42127"/>
    <w:rsid w:val="00F4436C"/>
    <w:rsid w:val="00F56399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DBD7-6374-4410-9A64-0D54493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6798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93</cp:revision>
  <cp:lastPrinted>2021-06-22T12:42:00Z</cp:lastPrinted>
  <dcterms:created xsi:type="dcterms:W3CDTF">2015-12-28T13:03:00Z</dcterms:created>
  <dcterms:modified xsi:type="dcterms:W3CDTF">2021-07-02T11:21:00Z</dcterms:modified>
</cp:coreProperties>
</file>